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F1AD" w14:textId="77777777" w:rsidR="00F5016D" w:rsidRDefault="00F5016D" w:rsidP="0003711C">
      <w:pPr>
        <w:pStyle w:val="Title"/>
      </w:pPr>
      <w:r>
        <w:t xml:space="preserve">AAMC </w:t>
      </w:r>
      <w:proofErr w:type="spellStart"/>
      <w:r>
        <w:t>PREview</w:t>
      </w:r>
      <w:proofErr w:type="spellEnd"/>
      <w:r>
        <w:rPr>
          <w:rFonts w:cs="Arial"/>
          <w:vertAlign w:val="superscript"/>
        </w:rPr>
        <w:t>®</w:t>
      </w:r>
      <w:r>
        <w:t xml:space="preserve"> Professional Readiness Exam:</w:t>
      </w:r>
    </w:p>
    <w:p w14:paraId="604B3AF5" w14:textId="77777777" w:rsidR="00F5016D" w:rsidRDefault="00F5016D" w:rsidP="0003711C">
      <w:pPr>
        <w:pStyle w:val="Title"/>
      </w:pPr>
      <w:r>
        <w:t xml:space="preserve">Draft Text for School Announcements </w:t>
      </w:r>
    </w:p>
    <w:p w14:paraId="4121C34A" w14:textId="77777777" w:rsidR="00F5016D" w:rsidRDefault="00F5016D" w:rsidP="0003711C"/>
    <w:p w14:paraId="474DB224" w14:textId="77777777" w:rsidR="00F5016D" w:rsidRDefault="00F5016D" w:rsidP="0003711C">
      <w:pPr>
        <w:pStyle w:val="Heading1"/>
      </w:pPr>
      <w:r>
        <w:t>Purpose</w:t>
      </w:r>
    </w:p>
    <w:p w14:paraId="0AB7FB21" w14:textId="287E5662" w:rsidR="00F5016D" w:rsidRDefault="00F5016D" w:rsidP="0003711C">
      <w:r>
        <w:t xml:space="preserve">This document is designed to provide participating medical schools with easy-to-adapt content to communicate that your school is requiring or recommending applicants take the AAMC </w:t>
      </w:r>
      <w:proofErr w:type="spellStart"/>
      <w:r>
        <w:t>PREview</w:t>
      </w:r>
      <w:proofErr w:type="spellEnd"/>
      <w:r>
        <w:rPr>
          <w:rFonts w:cs="Arial"/>
          <w:vertAlign w:val="superscript"/>
        </w:rPr>
        <w:t>®</w:t>
      </w:r>
      <w:r>
        <w:t xml:space="preserve"> professional readiness exam for the 202</w:t>
      </w:r>
      <w:r w:rsidR="0003711C">
        <w:t>5</w:t>
      </w:r>
      <w:r>
        <w:t xml:space="preserve"> application cycle.</w:t>
      </w:r>
    </w:p>
    <w:p w14:paraId="4F29D19E" w14:textId="64912AB9" w:rsidR="00F5016D" w:rsidRDefault="00F5016D" w:rsidP="0003711C">
      <w:r>
        <w:t xml:space="preserve">Included below is text that can be adapted to align with your school’s communication style and used to communicate about the </w:t>
      </w:r>
      <w:proofErr w:type="spellStart"/>
      <w:r>
        <w:t>PREview</w:t>
      </w:r>
      <w:proofErr w:type="spellEnd"/>
      <w:r>
        <w:t xml:space="preserve"> exam via your website or other platforms. Schools should tailor communications based on their mission and intended use of </w:t>
      </w:r>
      <w:proofErr w:type="spellStart"/>
      <w:r>
        <w:t>PREview</w:t>
      </w:r>
      <w:proofErr w:type="spellEnd"/>
      <w:r>
        <w:t xml:space="preserve"> scores. </w:t>
      </w:r>
      <w:r>
        <w:rPr>
          <w:i/>
        </w:rPr>
        <w:t xml:space="preserve">Highlighted text identifies text your school should </w:t>
      </w:r>
      <w:proofErr w:type="gramStart"/>
      <w:r>
        <w:rPr>
          <w:i/>
        </w:rPr>
        <w:t>review</w:t>
      </w:r>
      <w:proofErr w:type="gramEnd"/>
      <w:r>
        <w:rPr>
          <w:i/>
        </w:rPr>
        <w:t xml:space="preserve"> and update as needed, such as school name or language related to intended use of the </w:t>
      </w:r>
      <w:proofErr w:type="spellStart"/>
      <w:r>
        <w:rPr>
          <w:i/>
        </w:rPr>
        <w:t>PREview</w:t>
      </w:r>
      <w:proofErr w:type="spellEnd"/>
      <w:r>
        <w:rPr>
          <w:i/>
        </w:rPr>
        <w:t xml:space="preserve"> exam and </w:t>
      </w:r>
      <w:proofErr w:type="spellStart"/>
      <w:r>
        <w:rPr>
          <w:i/>
        </w:rPr>
        <w:t>PREview</w:t>
      </w:r>
      <w:proofErr w:type="spellEnd"/>
      <w:r>
        <w:rPr>
          <w:i/>
        </w:rPr>
        <w:t xml:space="preserve"> scores.</w:t>
      </w:r>
    </w:p>
    <w:p w14:paraId="125B6FD2" w14:textId="77777777" w:rsidR="00F5016D" w:rsidRDefault="00F5016D" w:rsidP="0003711C">
      <w:r>
        <w:t xml:space="preserve">Please do not hesitate to contact us at </w:t>
      </w:r>
      <w:hyperlink r:id="rId6" w:history="1">
        <w:r>
          <w:rPr>
            <w:rStyle w:val="Hyperlink"/>
          </w:rPr>
          <w:t>preview@aamc.org</w:t>
        </w:r>
      </w:hyperlink>
      <w:r>
        <w:t xml:space="preserve"> with any questions related to communicating with applicants and other audiences about the AAMC </w:t>
      </w:r>
      <w:proofErr w:type="spellStart"/>
      <w:r>
        <w:t>PREview</w:t>
      </w:r>
      <w:proofErr w:type="spellEnd"/>
      <w:r>
        <w:t xml:space="preserve"> exam.</w:t>
      </w:r>
    </w:p>
    <w:p w14:paraId="58DD8176" w14:textId="77777777" w:rsidR="00F5016D" w:rsidRDefault="00F5016D" w:rsidP="0003711C"/>
    <w:p w14:paraId="44BC7238" w14:textId="77777777" w:rsidR="00F5016D" w:rsidRDefault="00F5016D" w:rsidP="0003711C">
      <w:pPr>
        <w:rPr>
          <w:rFonts w:eastAsiaTheme="majorEastAsia" w:cstheme="majorBidi"/>
          <w:color w:val="7F7F7F" w:themeColor="text1" w:themeTint="80"/>
          <w:sz w:val="30"/>
          <w:szCs w:val="32"/>
        </w:rPr>
      </w:pPr>
      <w:r>
        <w:br w:type="page"/>
      </w:r>
    </w:p>
    <w:p w14:paraId="3FD11CBA" w14:textId="4C28F0E2" w:rsidR="00F5016D" w:rsidRDefault="00F5016D" w:rsidP="0003711C">
      <w:pPr>
        <w:pStyle w:val="Heading1"/>
      </w:pPr>
      <w:r>
        <w:lastRenderedPageBreak/>
        <w:t>For Use on School Website and Other Platforms</w:t>
      </w:r>
    </w:p>
    <w:p w14:paraId="671BA916" w14:textId="59ADF43A" w:rsidR="00F5016D" w:rsidRDefault="00F5016D" w:rsidP="0003711C">
      <w:pPr>
        <w:pStyle w:val="Heading2"/>
      </w:pPr>
      <w:r>
        <w:t>New Application Requirement for the 2024 Cycle</w:t>
      </w:r>
    </w:p>
    <w:p w14:paraId="526E60B7" w14:textId="05733602" w:rsidR="00F5016D" w:rsidRPr="0003711C" w:rsidRDefault="00F5016D" w:rsidP="0003711C">
      <w:r>
        <w:t xml:space="preserve">Our next generation of doctors must continue to provide compassionate care that nurtures their patients' mind and body, collaborate effectively with multidisciplinary medical teams, and navigate emotional, cultural, and ethical challenges with resiliency. To achieve this goal, the admissions process must better assess applicants’ </w:t>
      </w:r>
      <w:r w:rsidRPr="0003711C">
        <w:t>understanding</w:t>
      </w:r>
      <w:r>
        <w:t xml:space="preserve"> of core professional competencies.</w:t>
      </w:r>
    </w:p>
    <w:p w14:paraId="49DE5B7E" w14:textId="6761017C" w:rsidR="00F5016D" w:rsidRDefault="00F5016D" w:rsidP="0003711C">
      <w:r>
        <w:t>To further enhance our holistic review process during the 202</w:t>
      </w:r>
      <w:r w:rsidR="0003711C">
        <w:t>5</w:t>
      </w:r>
      <w:r>
        <w:t xml:space="preserve"> application cycle, we are </w:t>
      </w:r>
      <w:r>
        <w:rPr>
          <w:highlight w:val="yellow"/>
        </w:rPr>
        <w:t>recommending/requiring</w:t>
      </w:r>
      <w:r>
        <w:t xml:space="preserve"> applicants to complete the Association of American Medical Colleges (AAMC) </w:t>
      </w:r>
      <w:proofErr w:type="spellStart"/>
      <w:r>
        <w:t>PREview</w:t>
      </w:r>
      <w:proofErr w:type="spellEnd"/>
      <w:r>
        <w:rPr>
          <w:rFonts w:cs="Arial"/>
          <w:vertAlign w:val="superscript"/>
        </w:rPr>
        <w:t>®</w:t>
      </w:r>
      <w:r>
        <w:t xml:space="preserve"> professional readiness exam. The exam is designed to assess the professional competencies that our admissions committee believes are essential for success at our medical school and will be increasingly important in meeting the needs </w:t>
      </w:r>
      <w:r>
        <w:rPr>
          <w:rStyle w:val="normaltextrun"/>
        </w:rPr>
        <w:t>of patients and improving the health of all people</w:t>
      </w:r>
      <w:r>
        <w:t xml:space="preserve">. </w:t>
      </w:r>
    </w:p>
    <w:p w14:paraId="3B70A0D8" w14:textId="0C2C159F" w:rsidR="00F5016D" w:rsidRDefault="00F5016D" w:rsidP="0003711C">
      <w:r>
        <w:t xml:space="preserve">The AAMC </w:t>
      </w:r>
      <w:proofErr w:type="spellStart"/>
      <w:r>
        <w:t>PREview</w:t>
      </w:r>
      <w:proofErr w:type="spellEnd"/>
      <w:r>
        <w:t xml:space="preserve"> exam is an opportunity for applicants to showcase personal and professional characteristics—beyond classroom learning—that will make them a great fit for the &lt;</w:t>
      </w:r>
      <w:r>
        <w:rPr>
          <w:highlight w:val="yellow"/>
        </w:rPr>
        <w:t>School Name</w:t>
      </w:r>
      <w:r>
        <w:t>&gt;.</w:t>
      </w:r>
      <w:r>
        <w:rPr>
          <w:highlight w:val="yellow"/>
        </w:rPr>
        <w:t xml:space="preserve"> We will consider scores as one part of our admissions process to better understand and evaluate the whole applicant.</w:t>
      </w:r>
    </w:p>
    <w:p w14:paraId="5F8F40F6" w14:textId="4D3FE458" w:rsidR="00F5016D" w:rsidRDefault="00F5016D" w:rsidP="0003711C">
      <w:r>
        <w:t xml:space="preserve">The </w:t>
      </w:r>
      <w:proofErr w:type="spellStart"/>
      <w:r>
        <w:t>PREview</w:t>
      </w:r>
      <w:proofErr w:type="spellEnd"/>
      <w:r>
        <w:t xml:space="preserve"> exam will be available </w:t>
      </w:r>
      <w:bookmarkStart w:id="0" w:name="_Hlk64555618"/>
      <w:r>
        <w:t xml:space="preserve">March – </w:t>
      </w:r>
      <w:bookmarkEnd w:id="0"/>
      <w:r w:rsidR="0003711C">
        <w:t>September</w:t>
      </w:r>
      <w:r>
        <w:t xml:space="preserve"> 202</w:t>
      </w:r>
      <w:r w:rsidR="0003711C">
        <w:t>4</w:t>
      </w:r>
      <w:r>
        <w:t>. For the 202</w:t>
      </w:r>
      <w:r w:rsidR="0003711C">
        <w:t>5</w:t>
      </w:r>
      <w:r>
        <w:t xml:space="preserve"> application cycle, the </w:t>
      </w:r>
      <w:proofErr w:type="spellStart"/>
      <w:r>
        <w:t>PREview</w:t>
      </w:r>
      <w:proofErr w:type="spellEnd"/>
      <w:r>
        <w:t xml:space="preserve"> exam will be administered online using live remote proctoring. There will be a $100 fee for examinees to take the </w:t>
      </w:r>
      <w:proofErr w:type="spellStart"/>
      <w:r>
        <w:t>PREview</w:t>
      </w:r>
      <w:proofErr w:type="spellEnd"/>
      <w:r>
        <w:t xml:space="preserve"> exam and release their </w:t>
      </w:r>
      <w:proofErr w:type="spellStart"/>
      <w:r>
        <w:t>PREview</w:t>
      </w:r>
      <w:proofErr w:type="spellEnd"/>
      <w:r>
        <w:t xml:space="preserve"> scores to all schools they apply to. Students who qualify for the AAMC Fee Assistance Program will receive a full fee waiver (no cost)</w:t>
      </w:r>
      <w:r w:rsidR="009F370B">
        <w:t xml:space="preserve"> for their first registration</w:t>
      </w:r>
      <w:r>
        <w:t xml:space="preserve">. Free preparation materials, including </w:t>
      </w:r>
      <w:r w:rsidR="009F370B">
        <w:t>two</w:t>
      </w:r>
      <w:r>
        <w:t xml:space="preserve"> full-length practice exam</w:t>
      </w:r>
      <w:r w:rsidR="009F370B">
        <w:t>s</w:t>
      </w:r>
      <w:r>
        <w:t>, are available through the AAMC.</w:t>
      </w:r>
    </w:p>
    <w:p w14:paraId="15BBF99B" w14:textId="77777777" w:rsidR="00F5016D" w:rsidRDefault="00F5016D" w:rsidP="0003711C">
      <w:r>
        <w:t xml:space="preserve">We encourage you to review all our application requirements here: </w:t>
      </w:r>
    </w:p>
    <w:p w14:paraId="6E4402FC" w14:textId="6466E30A" w:rsidR="00F5016D" w:rsidRDefault="00F5016D" w:rsidP="0003711C">
      <w:r>
        <w:rPr>
          <w:highlight w:val="yellow"/>
        </w:rPr>
        <w:t>&lt;&lt;Insert school admissions URL here&gt;&gt;</w:t>
      </w:r>
      <w:r>
        <w:t> </w:t>
      </w:r>
    </w:p>
    <w:p w14:paraId="42337E20" w14:textId="59A28F7D" w:rsidR="00F5016D" w:rsidRDefault="00F5016D" w:rsidP="0003711C">
      <w:r>
        <w:t xml:space="preserve">Information about the </w:t>
      </w:r>
      <w:proofErr w:type="spellStart"/>
      <w:r>
        <w:t>PREview</w:t>
      </w:r>
      <w:proofErr w:type="spellEnd"/>
      <w:r>
        <w:t xml:space="preserve"> exam, including preparation materials, test registration, requests for accommodations, and important dates and deadlines is available on the AAMC website: </w:t>
      </w:r>
      <w:bookmarkStart w:id="1" w:name="_Hlk39173584"/>
      <w:r>
        <w:fldChar w:fldCharType="begin"/>
      </w:r>
      <w:r>
        <w:instrText>HYPERLINK "http://www.aamc.org/PREview"</w:instrText>
      </w:r>
      <w:r>
        <w:fldChar w:fldCharType="separate"/>
      </w:r>
      <w:r>
        <w:rPr>
          <w:rStyle w:val="Hyperlink"/>
        </w:rPr>
        <w:t>http://www.aamc.org/PREview</w:t>
      </w:r>
      <w:bookmarkEnd w:id="1"/>
      <w:r>
        <w:fldChar w:fldCharType="end"/>
      </w:r>
      <w:r>
        <w:t xml:space="preserve"> </w:t>
      </w:r>
      <w:r>
        <w:br w:type="page"/>
      </w:r>
    </w:p>
    <w:p w14:paraId="4C7A5FC6" w14:textId="77777777" w:rsidR="00F5016D" w:rsidRDefault="00F5016D" w:rsidP="0003711C">
      <w:bookmarkStart w:id="2" w:name="_Hlk64482193"/>
      <w:r>
        <w:lastRenderedPageBreak/>
        <w:t>***************************************************************</w:t>
      </w:r>
    </w:p>
    <w:p w14:paraId="112A415E" w14:textId="32CC66EC" w:rsidR="00F5016D" w:rsidRDefault="00F5016D" w:rsidP="0003711C">
      <w:pPr>
        <w:pStyle w:val="Heading1"/>
      </w:pPr>
      <w:r>
        <w:t>For Use in the Medical School Admission Requirements™ (MSAR®) online database</w:t>
      </w:r>
    </w:p>
    <w:p w14:paraId="19DFAE4A" w14:textId="5514EE80" w:rsidR="00F5016D" w:rsidRDefault="00F5016D" w:rsidP="0003711C">
      <w:r>
        <w:t>Updates can be made directly within the Medical School Admission Requirements™ database, which opened in December 202</w:t>
      </w:r>
      <w:r w:rsidR="0003711C">
        <w:t>3</w:t>
      </w:r>
      <w:r>
        <w:t>. Please contact Tami Levin (</w:t>
      </w:r>
      <w:hyperlink r:id="rId7" w:history="1">
        <w:r>
          <w:rPr>
            <w:rStyle w:val="Hyperlink"/>
          </w:rPr>
          <w:t>tlevin@aamc.org</w:t>
        </w:r>
      </w:hyperlink>
      <w:r>
        <w:t xml:space="preserve">) </w:t>
      </w:r>
      <w:bookmarkStart w:id="3" w:name="_Int_BSqH8osX"/>
      <w:r>
        <w:t>if</w:t>
      </w:r>
      <w:bookmarkEnd w:id="3"/>
      <w:r>
        <w:t xml:space="preserve"> you need assistance making updates.</w:t>
      </w:r>
      <w:bookmarkEnd w:id="2"/>
    </w:p>
    <w:p w14:paraId="352E10C5" w14:textId="77777777" w:rsidR="00F5016D" w:rsidRDefault="00F5016D" w:rsidP="0003711C">
      <w:bookmarkStart w:id="4" w:name="_Hlk64482216"/>
      <w:r>
        <w:rPr>
          <w:rStyle w:val="ng-scope"/>
          <w:rFonts w:cstheme="minorHAnsi"/>
          <w:b/>
          <w:bCs/>
          <w:color w:val="1F1F1F"/>
          <w:shd w:val="clear" w:color="auto" w:fill="FFFFFF"/>
        </w:rPr>
        <w:t>Under the “Situational Judgment Tests</w:t>
      </w:r>
      <w:r>
        <w:rPr>
          <w:rStyle w:val="ng-scope"/>
          <w:rFonts w:cstheme="minorHAnsi"/>
          <w:b/>
          <w:color w:val="1F1F1F"/>
          <w:shd w:val="clear" w:color="auto" w:fill="FFFFFF"/>
        </w:rPr>
        <w:t>” section:</w:t>
      </w:r>
    </w:p>
    <w:tbl>
      <w:tblPr>
        <w:tblW w:w="9305" w:type="dxa"/>
        <w:tblLook w:val="04A0" w:firstRow="1" w:lastRow="0" w:firstColumn="1" w:lastColumn="0" w:noHBand="0" w:noVBand="1"/>
      </w:tblPr>
      <w:tblGrid>
        <w:gridCol w:w="3780"/>
        <w:gridCol w:w="5525"/>
      </w:tblGrid>
      <w:tr w:rsidR="00F5016D" w14:paraId="3E77B9CE" w14:textId="77777777" w:rsidTr="00F5016D">
        <w:trPr>
          <w:tblHeader/>
        </w:trPr>
        <w:tc>
          <w:tcPr>
            <w:tcW w:w="3780" w:type="dxa"/>
            <w:tcBorders>
              <w:top w:val="nil"/>
              <w:left w:val="nil"/>
              <w:bottom w:val="single" w:sz="18" w:space="0" w:color="622892"/>
              <w:right w:val="single" w:sz="6" w:space="0" w:color="FFFFFF"/>
            </w:tcBorders>
            <w:tcMar>
              <w:top w:w="15" w:type="dxa"/>
              <w:left w:w="15" w:type="dxa"/>
              <w:bottom w:w="15" w:type="dxa"/>
              <w:right w:w="15" w:type="dxa"/>
            </w:tcMar>
            <w:vAlign w:val="bottom"/>
            <w:hideMark/>
          </w:tcPr>
          <w:p w14:paraId="43461EC5" w14:textId="77777777" w:rsidR="00F5016D" w:rsidRDefault="00F5016D" w:rsidP="0003711C">
            <w:r>
              <w:t>Assessment</w:t>
            </w:r>
          </w:p>
        </w:tc>
        <w:tc>
          <w:tcPr>
            <w:tcW w:w="5525" w:type="dxa"/>
            <w:tcBorders>
              <w:top w:val="nil"/>
              <w:left w:val="single" w:sz="6" w:space="0" w:color="FFFFFF"/>
              <w:bottom w:val="single" w:sz="18" w:space="0" w:color="622892"/>
              <w:right w:val="nil"/>
            </w:tcBorders>
            <w:shd w:val="clear" w:color="auto" w:fill="F9F9F9"/>
            <w:tcMar>
              <w:top w:w="15" w:type="dxa"/>
              <w:left w:w="15" w:type="dxa"/>
              <w:bottom w:w="15" w:type="dxa"/>
              <w:right w:w="15" w:type="dxa"/>
            </w:tcMar>
            <w:vAlign w:val="center"/>
            <w:hideMark/>
          </w:tcPr>
          <w:p w14:paraId="74175729" w14:textId="77777777" w:rsidR="00F5016D" w:rsidRDefault="00F5016D" w:rsidP="0003711C">
            <w:r>
              <w:t>Additional Information</w:t>
            </w:r>
          </w:p>
        </w:tc>
      </w:tr>
      <w:tr w:rsidR="00F5016D" w14:paraId="0C87D765" w14:textId="77777777" w:rsidTr="00F5016D">
        <w:tc>
          <w:tcPr>
            <w:tcW w:w="3780" w:type="dxa"/>
            <w:tcBorders>
              <w:top w:val="single" w:sz="6" w:space="0" w:color="E2E3E5"/>
              <w:left w:val="nil"/>
              <w:bottom w:val="single" w:sz="6" w:space="0" w:color="E2E3E5"/>
              <w:right w:val="single" w:sz="6" w:space="0" w:color="E2E3E5"/>
            </w:tcBorders>
            <w:shd w:val="clear" w:color="auto" w:fill="F5F5F5"/>
            <w:tcMar>
              <w:top w:w="15" w:type="dxa"/>
              <w:left w:w="15" w:type="dxa"/>
              <w:bottom w:w="15" w:type="dxa"/>
              <w:right w:w="15" w:type="dxa"/>
            </w:tcMar>
            <w:vAlign w:val="center"/>
            <w:hideMark/>
          </w:tcPr>
          <w:p w14:paraId="121FDBB2" w14:textId="77777777" w:rsidR="00F5016D" w:rsidRDefault="00F5016D" w:rsidP="0003711C">
            <w:r>
              <w:rPr>
                <w:rStyle w:val="ng-binding"/>
              </w:rPr>
              <w:t xml:space="preserve">AAMC </w:t>
            </w:r>
            <w:proofErr w:type="spellStart"/>
            <w:r>
              <w:rPr>
                <w:rStyle w:val="ng-binding"/>
              </w:rPr>
              <w:t>PREview</w:t>
            </w:r>
            <w:proofErr w:type="spellEnd"/>
            <w:r>
              <w:rPr>
                <w:rStyle w:val="ng-binding"/>
                <w:rFonts w:cs="Arial"/>
                <w:vertAlign w:val="superscript"/>
              </w:rPr>
              <w:t>®</w:t>
            </w:r>
            <w:r>
              <w:rPr>
                <w:rStyle w:val="ng-binding"/>
              </w:rPr>
              <w:t xml:space="preserve"> p</w:t>
            </w:r>
            <w:r>
              <w:t>rofessional readiness exam</w:t>
            </w:r>
          </w:p>
          <w:p w14:paraId="6B3BF68E" w14:textId="77777777" w:rsidR="00F5016D" w:rsidRDefault="009F370B" w:rsidP="0003711C">
            <w:hyperlink r:id="rId8" w:history="1">
              <w:r w:rsidR="00F5016D">
                <w:rPr>
                  <w:rStyle w:val="Hyperlink"/>
                </w:rPr>
                <w:t>http://www.aamc.org/PREview</w:t>
              </w:r>
            </w:hyperlink>
          </w:p>
        </w:tc>
        <w:tc>
          <w:tcPr>
            <w:tcW w:w="5525" w:type="dxa"/>
            <w:tcBorders>
              <w:top w:val="single" w:sz="6" w:space="0" w:color="E2E3E5"/>
              <w:left w:val="single" w:sz="6" w:space="0" w:color="E2E3E5"/>
              <w:bottom w:val="single" w:sz="6" w:space="0" w:color="E2E3E5"/>
              <w:right w:val="nil"/>
            </w:tcBorders>
            <w:shd w:val="clear" w:color="auto" w:fill="F5F5F5"/>
            <w:tcMar>
              <w:top w:w="15" w:type="dxa"/>
              <w:left w:w="15" w:type="dxa"/>
              <w:bottom w:w="15" w:type="dxa"/>
              <w:right w:w="15" w:type="dxa"/>
            </w:tcMar>
            <w:vAlign w:val="center"/>
            <w:hideMark/>
          </w:tcPr>
          <w:p w14:paraId="766E9CF2" w14:textId="77777777" w:rsidR="00F5016D" w:rsidRDefault="00F5016D" w:rsidP="0003711C">
            <w:pPr>
              <w:rPr>
                <w:rStyle w:val="ng-binding"/>
              </w:rPr>
            </w:pPr>
            <w:r>
              <w:t>&lt;</w:t>
            </w:r>
            <w:r>
              <w:rPr>
                <w:highlight w:val="yellow"/>
              </w:rPr>
              <w:t>School Name</w:t>
            </w:r>
            <w:r>
              <w:t xml:space="preserve">&gt; is </w:t>
            </w:r>
            <w:r>
              <w:rPr>
                <w:highlight w:val="yellow"/>
              </w:rPr>
              <w:t>recommending/requiring</w:t>
            </w:r>
            <w:r>
              <w:t xml:space="preserve"> applicants to take the AAMC </w:t>
            </w:r>
            <w:proofErr w:type="spellStart"/>
            <w:r>
              <w:t>PREview</w:t>
            </w:r>
            <w:proofErr w:type="spellEnd"/>
            <w:r>
              <w:t xml:space="preserve"> exam. </w:t>
            </w:r>
            <w:r>
              <w:rPr>
                <w:highlight w:val="yellow"/>
              </w:rPr>
              <w:t>We will consider scores as one part of our admissions process.</w:t>
            </w:r>
          </w:p>
        </w:tc>
      </w:tr>
      <w:bookmarkEnd w:id="4"/>
    </w:tbl>
    <w:p w14:paraId="525EEB52" w14:textId="77777777" w:rsidR="00F5016D" w:rsidRDefault="00F5016D" w:rsidP="0003711C"/>
    <w:p w14:paraId="1E769A62" w14:textId="77777777" w:rsidR="00F5016D" w:rsidRDefault="00F5016D" w:rsidP="0003711C"/>
    <w:p w14:paraId="470D632A" w14:textId="77777777" w:rsidR="00F5016D" w:rsidRDefault="00F5016D" w:rsidP="0003711C">
      <w:r>
        <w:br w:type="page"/>
      </w:r>
    </w:p>
    <w:p w14:paraId="67A2199F" w14:textId="77777777" w:rsidR="00F5016D" w:rsidRDefault="00F5016D" w:rsidP="0003711C">
      <w:r>
        <w:lastRenderedPageBreak/>
        <w:t>***********************************************************</w:t>
      </w:r>
    </w:p>
    <w:p w14:paraId="1F6E6B1D" w14:textId="07C8E802" w:rsidR="00F5016D" w:rsidRDefault="00F5016D" w:rsidP="0003711C">
      <w:pPr>
        <w:pStyle w:val="Heading1"/>
      </w:pPr>
      <w:r>
        <w:t>For Use with Internal or Professional Audiences</w:t>
      </w:r>
    </w:p>
    <w:p w14:paraId="01DF8AEF" w14:textId="4179528B" w:rsidR="00F5016D" w:rsidRDefault="00F5016D" w:rsidP="0003711C">
      <w:pPr>
        <w:pStyle w:val="Heading2"/>
      </w:pPr>
      <w:r>
        <w:t xml:space="preserve">Admissions team to incorporate AAMC </w:t>
      </w:r>
      <w:proofErr w:type="spellStart"/>
      <w:r>
        <w:t>PREview</w:t>
      </w:r>
      <w:proofErr w:type="spellEnd"/>
      <w:r>
        <w:rPr>
          <w:rFonts w:cs="Arial"/>
          <w:vertAlign w:val="superscript"/>
        </w:rPr>
        <w:t>®</w:t>
      </w:r>
      <w:r>
        <w:t xml:space="preserve"> professional readiness exam scores into the holistic review </w:t>
      </w:r>
      <w:proofErr w:type="gramStart"/>
      <w:r>
        <w:t>process</w:t>
      </w:r>
      <w:proofErr w:type="gramEnd"/>
      <w:r>
        <w:t xml:space="preserve"> </w:t>
      </w:r>
    </w:p>
    <w:p w14:paraId="28CC5198" w14:textId="52A264D7" w:rsidR="00F5016D" w:rsidRDefault="00F5016D" w:rsidP="0003711C">
      <w:r>
        <w:t>As part of our efforts to support a holistic admissions strategy and to diversify the pool of applicants considered for interviews, &lt;</w:t>
      </w:r>
      <w:r>
        <w:rPr>
          <w:highlight w:val="yellow"/>
        </w:rPr>
        <w:t>School Name</w:t>
      </w:r>
      <w:r>
        <w:t xml:space="preserve">&gt; will </w:t>
      </w:r>
      <w:r>
        <w:rPr>
          <w:highlight w:val="yellow"/>
        </w:rPr>
        <w:t>recommend/require</w:t>
      </w:r>
      <w:r>
        <w:t xml:space="preserve"> applicants in the approaching 202</w:t>
      </w:r>
      <w:r w:rsidR="009F370B">
        <w:t>5</w:t>
      </w:r>
      <w:r>
        <w:t xml:space="preserve"> cycle take the Association of American Medical Colleges (AAMC) </w:t>
      </w:r>
      <w:proofErr w:type="spellStart"/>
      <w:r>
        <w:t>PREview</w:t>
      </w:r>
      <w:proofErr w:type="spellEnd"/>
      <w:r w:rsidRPr="0003711C">
        <w:rPr>
          <w:rFonts w:cs="Arial"/>
          <w:vertAlign w:val="superscript"/>
        </w:rPr>
        <w:t>®</w:t>
      </w:r>
      <w:r>
        <w:t xml:space="preserve"> professional readiness exam to assess professional </w:t>
      </w:r>
      <w:r w:rsidR="009F370B">
        <w:t xml:space="preserve">competencies </w:t>
      </w:r>
      <w:r>
        <w:t xml:space="preserve">needed to succeed in medical school. </w:t>
      </w:r>
      <w:r>
        <w:rPr>
          <w:highlight w:val="yellow"/>
        </w:rPr>
        <w:t xml:space="preserve">We will consider AAMC </w:t>
      </w:r>
      <w:proofErr w:type="spellStart"/>
      <w:r>
        <w:rPr>
          <w:highlight w:val="yellow"/>
        </w:rPr>
        <w:t>PREview</w:t>
      </w:r>
      <w:proofErr w:type="spellEnd"/>
      <w:r>
        <w:rPr>
          <w:highlight w:val="yellow"/>
        </w:rPr>
        <w:t xml:space="preserve"> scores as one part of our admissions process.</w:t>
      </w:r>
    </w:p>
    <w:p w14:paraId="0DE040FD" w14:textId="60E05F53" w:rsidR="00F5016D" w:rsidRDefault="00F5016D" w:rsidP="0003711C">
      <w:r>
        <w:t>To provide even better care for patients, the next generation of doctors must understand far more than chemistry and human anatomy. They will need to provide compassionate care that nurtures their patients' mind and body, collaborate effectively with multidisciplinary medical teams, and navigate emotional, cultural, and ethical challenges with resiliency.</w:t>
      </w:r>
      <w:r>
        <w:rPr>
          <w:i/>
        </w:rPr>
        <w:t xml:space="preserve"> </w:t>
      </w:r>
      <w:r>
        <w:t xml:space="preserve">The </w:t>
      </w:r>
      <w:proofErr w:type="spellStart"/>
      <w:r>
        <w:t>PREview</w:t>
      </w:r>
      <w:proofErr w:type="spellEnd"/>
      <w:r>
        <w:t xml:space="preserve"> exam is an important new tool to help us identify applicants with critical personal skills and attributes.  </w:t>
      </w:r>
    </w:p>
    <w:p w14:paraId="36D69157" w14:textId="038ECF63" w:rsidR="00F5016D" w:rsidRDefault="00F5016D" w:rsidP="0003711C">
      <w:r>
        <w:t xml:space="preserve">The </w:t>
      </w:r>
      <w:proofErr w:type="spellStart"/>
      <w:r>
        <w:t>PREview</w:t>
      </w:r>
      <w:proofErr w:type="spellEnd"/>
      <w:r>
        <w:t xml:space="preserve"> exam is based on many years of research and evaluation conducted by the AAMC and many U.S. medical schools, which consistently demonstrates that the </w:t>
      </w:r>
      <w:proofErr w:type="spellStart"/>
      <w:r>
        <w:t>PREview</w:t>
      </w:r>
      <w:proofErr w:type="spellEnd"/>
      <w:r>
        <w:t xml:space="preserve"> exam measures critical personal and professional skills </w:t>
      </w:r>
      <w:r>
        <w:rPr>
          <w:rStyle w:val="normaltextrun"/>
        </w:rPr>
        <w:t xml:space="preserve">and </w:t>
      </w:r>
      <w:r>
        <w:t>predicts learners’ performance in professional domains in medical school. </w:t>
      </w:r>
    </w:p>
    <w:p w14:paraId="60929025" w14:textId="60589576" w:rsidR="00F5016D" w:rsidRDefault="00F5016D" w:rsidP="0003711C">
      <w:r>
        <w:t>&lt;</w:t>
      </w:r>
      <w:r>
        <w:rPr>
          <w:highlight w:val="yellow"/>
        </w:rPr>
        <w:t>School Name</w:t>
      </w:r>
      <w:r>
        <w:t xml:space="preserve">&gt; is proud to be one of a growing number of institutions using the </w:t>
      </w:r>
      <w:proofErr w:type="spellStart"/>
      <w:r>
        <w:t>PREview</w:t>
      </w:r>
      <w:proofErr w:type="spellEnd"/>
      <w:r>
        <w:t xml:space="preserve"> exam as a part of our institutional commitment to holistic review and to finding new and better ways to identify students who possess both the academic knowledge and professional competencies needed to develop into physicians who are prepared to meet the health care challenges of the future.</w:t>
      </w:r>
    </w:p>
    <w:p w14:paraId="71B0B79A" w14:textId="77777777" w:rsidR="00F5016D" w:rsidRDefault="00F5016D" w:rsidP="0003711C"/>
    <w:p w14:paraId="1BB49887" w14:textId="3E278983" w:rsidR="00697ED6" w:rsidRPr="00F5016D" w:rsidRDefault="00697ED6" w:rsidP="0003711C"/>
    <w:sectPr w:rsidR="00697ED6" w:rsidRPr="00F5016D" w:rsidSect="00E71D3D">
      <w:headerReference w:type="default" r:id="rId9"/>
      <w:footerReference w:type="even" r:id="rId10"/>
      <w:footerReference w:type="default" r:id="rId11"/>
      <w:pgSz w:w="12240" w:h="15840"/>
      <w:pgMar w:top="1864" w:right="1440" w:bottom="1440" w:left="1440" w:header="0" w:footer="2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61F7" w14:textId="77777777" w:rsidR="00C506CC" w:rsidRDefault="00C506CC" w:rsidP="0003711C">
      <w:r>
        <w:separator/>
      </w:r>
    </w:p>
  </w:endnote>
  <w:endnote w:type="continuationSeparator" w:id="0">
    <w:p w14:paraId="2390342D" w14:textId="77777777" w:rsidR="00C506CC" w:rsidRDefault="00C506CC" w:rsidP="0003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7415124"/>
      <w:docPartObj>
        <w:docPartGallery w:val="Page Numbers (Bottom of Page)"/>
        <w:docPartUnique/>
      </w:docPartObj>
    </w:sdtPr>
    <w:sdtEndPr>
      <w:rPr>
        <w:rStyle w:val="PageNumber"/>
      </w:rPr>
    </w:sdtEndPr>
    <w:sdtContent>
      <w:p w14:paraId="4BFB4A7C" w14:textId="022DB98A" w:rsidR="009B2B20" w:rsidRDefault="009B2B20" w:rsidP="0003711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1687BA" w14:textId="77777777" w:rsidR="009B2B20" w:rsidRDefault="009B2B20" w:rsidP="00037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082A4C"/>
        <w:szCs w:val="20"/>
      </w:rPr>
      <w:id w:val="1587814355"/>
      <w:docPartObj>
        <w:docPartGallery w:val="Page Numbers (Bottom of Page)"/>
        <w:docPartUnique/>
      </w:docPartObj>
    </w:sdtPr>
    <w:sdtEndPr>
      <w:rPr>
        <w:rStyle w:val="PageNumber"/>
      </w:rPr>
    </w:sdtEndPr>
    <w:sdtContent>
      <w:p w14:paraId="7DB96233" w14:textId="77777777" w:rsidR="0003711C" w:rsidRPr="009B2B20" w:rsidRDefault="0003711C" w:rsidP="0003711C">
        <w:pPr>
          <w:pStyle w:val="Footer"/>
          <w:framePr w:wrap="none" w:vAnchor="text" w:hAnchor="page" w:x="6075" w:y="138"/>
          <w:rPr>
            <w:rStyle w:val="PageNumber"/>
            <w:rFonts w:cs="Arial"/>
            <w:color w:val="082A4C"/>
            <w:szCs w:val="20"/>
          </w:rPr>
        </w:pPr>
        <w:r w:rsidRPr="00D37660">
          <w:rPr>
            <w:rStyle w:val="PageNumber"/>
            <w:rFonts w:cs="Arial"/>
            <w:sz w:val="18"/>
            <w:szCs w:val="18"/>
          </w:rPr>
          <w:fldChar w:fldCharType="begin"/>
        </w:r>
        <w:r w:rsidRPr="00D37660">
          <w:rPr>
            <w:rStyle w:val="PageNumber"/>
            <w:rFonts w:cs="Arial"/>
            <w:sz w:val="18"/>
            <w:szCs w:val="18"/>
          </w:rPr>
          <w:instrText xml:space="preserve"> PAGE </w:instrText>
        </w:r>
        <w:r w:rsidRPr="00D37660">
          <w:rPr>
            <w:rStyle w:val="PageNumber"/>
            <w:rFonts w:cs="Arial"/>
            <w:sz w:val="18"/>
            <w:szCs w:val="18"/>
          </w:rPr>
          <w:fldChar w:fldCharType="separate"/>
        </w:r>
        <w:r>
          <w:rPr>
            <w:rStyle w:val="PageNumber"/>
            <w:rFonts w:cs="Arial"/>
            <w:sz w:val="18"/>
            <w:szCs w:val="18"/>
          </w:rPr>
          <w:t>1</w:t>
        </w:r>
        <w:r w:rsidRPr="00D37660">
          <w:rPr>
            <w:rStyle w:val="PageNumber"/>
            <w:rFonts w:cs="Arial"/>
            <w:sz w:val="18"/>
            <w:szCs w:val="18"/>
          </w:rPr>
          <w:fldChar w:fldCharType="end"/>
        </w:r>
      </w:p>
    </w:sdtContent>
  </w:sdt>
  <w:p w14:paraId="0796E998" w14:textId="4843F98C" w:rsidR="009B2B20" w:rsidRPr="0003711C" w:rsidRDefault="0003711C" w:rsidP="0003711C">
    <w:pPr>
      <w:pStyle w:val="Footer"/>
      <w:ind w:left="-1080"/>
      <w:rPr>
        <w:rStyle w:val="PageNumber"/>
      </w:rPr>
    </w:pPr>
    <w:r>
      <w:rPr>
        <w:noProof/>
      </w:rPr>
      <mc:AlternateContent>
        <mc:Choice Requires="wps">
          <w:drawing>
            <wp:anchor distT="0" distB="0" distL="114300" distR="114300" simplePos="0" relativeHeight="251662336" behindDoc="0" locked="0" layoutInCell="1" allowOverlap="1" wp14:anchorId="33EE1D6C" wp14:editId="50EB9059">
              <wp:simplePos x="0" y="0"/>
              <wp:positionH relativeFrom="column">
                <wp:posOffset>-687519</wp:posOffset>
              </wp:positionH>
              <wp:positionV relativeFrom="paragraph">
                <wp:posOffset>67047</wp:posOffset>
              </wp:positionV>
              <wp:extent cx="3588848" cy="302509"/>
              <wp:effectExtent l="0" t="0" r="0" b="0"/>
              <wp:wrapNone/>
              <wp:docPr id="3" name="Text Box 3"/>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14:paraId="20C341A0" w14:textId="77777777" w:rsidR="0003711C" w:rsidRPr="00D37660" w:rsidRDefault="0003711C" w:rsidP="0003711C">
                          <w:pPr>
                            <w:rPr>
                              <w:rFonts w:ascii="Times New Roman" w:eastAsia="Times New Roman" w:hAnsi="Times New Roman" w:cs="Times New Roman"/>
                              <w:sz w:val="14"/>
                              <w:szCs w:val="14"/>
                            </w:rPr>
                          </w:pPr>
                          <w:r w:rsidRPr="00D37660">
                            <w:rPr>
                              <w:rFonts w:eastAsia="Times New Roman" w:cs="Arial"/>
                              <w:sz w:val="14"/>
                              <w:szCs w:val="14"/>
                              <w:shd w:val="clear" w:color="auto" w:fill="FFFFFF"/>
                            </w:rPr>
                            <w:t>©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EE1D6C" id="_x0000_t202" coordsize="21600,21600" o:spt="202" path="m,l,21600r21600,l21600,xe">
              <v:stroke joinstyle="miter"/>
              <v:path gradientshapeok="t" o:connecttype="rect"/>
            </v:shapetype>
            <v:shape id="Text Box 3" o:spid="_x0000_s1026" type="#_x0000_t202" style="position:absolute;left:0;text-align:left;margin-left:-54.15pt;margin-top:5.3pt;width:282.6pt;height:2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" filled="f" stroked="f" strokeweight=".5pt">
              <v:textbox>
                <w:txbxContent>
                  <w:p w14:paraId="20C341A0" w14:textId="77777777" w:rsidR="0003711C" w:rsidRPr="00D37660" w:rsidRDefault="0003711C" w:rsidP="0003711C">
                    <w:pPr>
                      <w:rPr>
                        <w:rFonts w:ascii="Times New Roman" w:eastAsia="Times New Roman" w:hAnsi="Times New Roman" w:cs="Times New Roman"/>
                        <w:sz w:val="14"/>
                        <w:szCs w:val="14"/>
                      </w:rPr>
                    </w:pPr>
                    <w:r w:rsidRPr="00D37660">
                      <w:rPr>
                        <w:rFonts w:eastAsia="Times New Roman" w:cs="Arial"/>
                        <w:sz w:val="14"/>
                        <w:szCs w:val="14"/>
                        <w:shd w:val="clear" w:color="auto" w:fill="FFFFFF"/>
                      </w:rPr>
                      <w:t>© Association of American Medical Colleges</w:t>
                    </w:r>
                  </w:p>
                </w:txbxContent>
              </v:textbox>
            </v:shape>
          </w:pict>
        </mc:Fallback>
      </mc:AlternateContent>
    </w:r>
    <w:r>
      <w:rPr>
        <w:noProof/>
      </w:rPr>
      <w:drawing>
        <wp:inline distT="0" distB="0" distL="0" distR="0" wp14:anchorId="780D978C" wp14:editId="3C7BC14F">
          <wp:extent cx="7303495" cy="31699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303495" cy="316992"/>
                  </a:xfrm>
                  <a:prstGeom prst="rect">
                    <a:avLst/>
                  </a:prstGeom>
                </pic:spPr>
              </pic:pic>
            </a:graphicData>
          </a:graphic>
        </wp:inline>
      </w:drawing>
    </w:r>
  </w:p>
  <w:p w14:paraId="5DF2A7F0" w14:textId="3FA571EF" w:rsidR="003D3448" w:rsidRDefault="003D3448" w:rsidP="000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0626" w14:textId="77777777" w:rsidR="00C506CC" w:rsidRDefault="00C506CC" w:rsidP="0003711C">
      <w:r>
        <w:separator/>
      </w:r>
    </w:p>
  </w:footnote>
  <w:footnote w:type="continuationSeparator" w:id="0">
    <w:p w14:paraId="1245C5F5" w14:textId="77777777" w:rsidR="00C506CC" w:rsidRDefault="00C506CC" w:rsidP="0003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7A76" w14:textId="290E2CE0" w:rsidR="003D3448" w:rsidRDefault="003D3448" w:rsidP="0003711C">
    <w:pPr>
      <w:pStyle w:val="Header"/>
    </w:pPr>
    <w:r>
      <w:rPr>
        <w:noProof/>
      </w:rPr>
      <w:drawing>
        <wp:anchor distT="0" distB="0" distL="114300" distR="114300" simplePos="0" relativeHeight="251660288" behindDoc="0" locked="0" layoutInCell="1" allowOverlap="1" wp14:anchorId="364A8C53" wp14:editId="651FFE46">
          <wp:simplePos x="0" y="0"/>
          <wp:positionH relativeFrom="margin">
            <wp:align>center</wp:align>
          </wp:positionH>
          <wp:positionV relativeFrom="paragraph">
            <wp:posOffset>153675</wp:posOffset>
          </wp:positionV>
          <wp:extent cx="7315200" cy="914400"/>
          <wp:effectExtent l="0" t="0" r="0" b="0"/>
          <wp:wrapThrough wrapText="bothSides">
            <wp:wrapPolygon edited="0">
              <wp:start x="0" y="0"/>
              <wp:lineTo x="0" y="21150"/>
              <wp:lineTo x="21544" y="21150"/>
              <wp:lineTo x="215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15200" cy="914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48"/>
    <w:rsid w:val="00035CFD"/>
    <w:rsid w:val="0003711C"/>
    <w:rsid w:val="000532DA"/>
    <w:rsid w:val="0005652C"/>
    <w:rsid w:val="00063B8D"/>
    <w:rsid w:val="000661C6"/>
    <w:rsid w:val="000A5675"/>
    <w:rsid w:val="001B3BFF"/>
    <w:rsid w:val="001F296A"/>
    <w:rsid w:val="00234123"/>
    <w:rsid w:val="00257C2C"/>
    <w:rsid w:val="00271FAD"/>
    <w:rsid w:val="00286947"/>
    <w:rsid w:val="002E27A7"/>
    <w:rsid w:val="002F50E6"/>
    <w:rsid w:val="00343615"/>
    <w:rsid w:val="003D3448"/>
    <w:rsid w:val="00440F7F"/>
    <w:rsid w:val="0047786A"/>
    <w:rsid w:val="005A7B30"/>
    <w:rsid w:val="00640885"/>
    <w:rsid w:val="006666BE"/>
    <w:rsid w:val="00697ED6"/>
    <w:rsid w:val="006A5DED"/>
    <w:rsid w:val="007216B8"/>
    <w:rsid w:val="007533E8"/>
    <w:rsid w:val="007B309F"/>
    <w:rsid w:val="008B5BEC"/>
    <w:rsid w:val="008C2BA9"/>
    <w:rsid w:val="00951233"/>
    <w:rsid w:val="009B2B20"/>
    <w:rsid w:val="009F370B"/>
    <w:rsid w:val="009F4059"/>
    <w:rsid w:val="009F5A09"/>
    <w:rsid w:val="00A30731"/>
    <w:rsid w:val="00A9117B"/>
    <w:rsid w:val="00A94F15"/>
    <w:rsid w:val="00AA5FE6"/>
    <w:rsid w:val="00B4337C"/>
    <w:rsid w:val="00BA3060"/>
    <w:rsid w:val="00C32B44"/>
    <w:rsid w:val="00C506CC"/>
    <w:rsid w:val="00C5347E"/>
    <w:rsid w:val="00C76D1E"/>
    <w:rsid w:val="00D21CA8"/>
    <w:rsid w:val="00D37660"/>
    <w:rsid w:val="00D9024A"/>
    <w:rsid w:val="00E0282A"/>
    <w:rsid w:val="00E2675A"/>
    <w:rsid w:val="00E47C1D"/>
    <w:rsid w:val="00E71D3D"/>
    <w:rsid w:val="00F5016D"/>
    <w:rsid w:val="00F645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F7BE"/>
  <w14:defaultImageDpi w14:val="32767"/>
  <w15:chartTrackingRefBased/>
  <w15:docId w15:val="{55C94179-5E36-F741-9461-CD3AC202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711C"/>
    <w:pPr>
      <w:spacing w:before="120" w:after="200"/>
    </w:pPr>
    <w:rPr>
      <w:rFonts w:ascii="Arial" w:hAnsi="Arial"/>
      <w:iCs/>
      <w:sz w:val="20"/>
    </w:rPr>
  </w:style>
  <w:style w:type="paragraph" w:styleId="Heading1">
    <w:name w:val="heading 1"/>
    <w:basedOn w:val="Normal"/>
    <w:next w:val="Normal"/>
    <w:link w:val="Heading1Char"/>
    <w:uiPriority w:val="9"/>
    <w:qFormat/>
    <w:rsid w:val="00E71D3D"/>
    <w:pPr>
      <w:keepNext/>
      <w:keepLines/>
      <w:spacing w:before="240" w:after="0"/>
      <w:outlineLvl w:val="0"/>
    </w:pPr>
    <w:rPr>
      <w:rFonts w:eastAsiaTheme="majorEastAsia" w:cstheme="majorBidi"/>
      <w:color w:val="7F7F7F" w:themeColor="text1" w:themeTint="80"/>
      <w:sz w:val="30"/>
      <w:szCs w:val="32"/>
    </w:rPr>
  </w:style>
  <w:style w:type="paragraph" w:styleId="Heading2">
    <w:name w:val="heading 2"/>
    <w:basedOn w:val="Normal"/>
    <w:next w:val="Normal"/>
    <w:link w:val="Heading2Char"/>
    <w:uiPriority w:val="9"/>
    <w:unhideWhenUsed/>
    <w:qFormat/>
    <w:rsid w:val="00E71D3D"/>
    <w:pPr>
      <w:keepNext/>
      <w:keepLines/>
      <w:outlineLvl w:val="1"/>
    </w:pPr>
    <w:rPr>
      <w:rFonts w:eastAsiaTheme="majorEastAsia" w:cstheme="majorBidi"/>
      <w:b/>
      <w:color w:val="4DBBC6"/>
      <w:sz w:val="24"/>
      <w:szCs w:val="26"/>
    </w:rPr>
  </w:style>
  <w:style w:type="paragraph" w:styleId="Heading3">
    <w:name w:val="heading 3"/>
    <w:basedOn w:val="Normal"/>
    <w:next w:val="Normal"/>
    <w:link w:val="Heading3Char"/>
    <w:uiPriority w:val="9"/>
    <w:unhideWhenUsed/>
    <w:qFormat/>
    <w:rsid w:val="00E71D3D"/>
    <w:pPr>
      <w:keepNext/>
      <w:keepLines/>
      <w:spacing w:before="40" w:after="0"/>
      <w:outlineLvl w:val="2"/>
    </w:pPr>
    <w:rPr>
      <w:rFonts w:eastAsiaTheme="majorEastAsia" w:cstheme="majorBidi"/>
      <w:color w:val="4DBBC6"/>
    </w:rPr>
  </w:style>
  <w:style w:type="paragraph" w:styleId="Heading4">
    <w:name w:val="heading 4"/>
    <w:basedOn w:val="Normal"/>
    <w:next w:val="Normal"/>
    <w:link w:val="Heading4Char"/>
    <w:uiPriority w:val="9"/>
    <w:semiHidden/>
    <w:unhideWhenUsed/>
    <w:qFormat/>
    <w:rsid w:val="007533E8"/>
    <w:pPr>
      <w:keepNext/>
      <w:keepLines/>
      <w:spacing w:before="40" w:after="0"/>
      <w:outlineLvl w:val="3"/>
    </w:pPr>
    <w:rPr>
      <w:rFonts w:eastAsiaTheme="majorEastAsia" w:cstheme="majorBidi"/>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448"/>
    <w:pPr>
      <w:tabs>
        <w:tab w:val="center" w:pos="4680"/>
        <w:tab w:val="right" w:pos="9360"/>
      </w:tabs>
    </w:pPr>
  </w:style>
  <w:style w:type="character" w:customStyle="1" w:styleId="HeaderChar">
    <w:name w:val="Header Char"/>
    <w:basedOn w:val="DefaultParagraphFont"/>
    <w:link w:val="Header"/>
    <w:uiPriority w:val="99"/>
    <w:rsid w:val="003D3448"/>
  </w:style>
  <w:style w:type="paragraph" w:styleId="Footer">
    <w:name w:val="footer"/>
    <w:basedOn w:val="Normal"/>
    <w:link w:val="FooterChar"/>
    <w:uiPriority w:val="99"/>
    <w:unhideWhenUsed/>
    <w:rsid w:val="003D3448"/>
    <w:pPr>
      <w:tabs>
        <w:tab w:val="center" w:pos="4680"/>
        <w:tab w:val="right" w:pos="9360"/>
      </w:tabs>
    </w:pPr>
  </w:style>
  <w:style w:type="character" w:customStyle="1" w:styleId="FooterChar">
    <w:name w:val="Footer Char"/>
    <w:basedOn w:val="DefaultParagraphFont"/>
    <w:link w:val="Footer"/>
    <w:uiPriority w:val="99"/>
    <w:rsid w:val="003D3448"/>
  </w:style>
  <w:style w:type="character" w:styleId="PageNumber">
    <w:name w:val="page number"/>
    <w:basedOn w:val="DefaultParagraphFont"/>
    <w:uiPriority w:val="99"/>
    <w:semiHidden/>
    <w:unhideWhenUsed/>
    <w:rsid w:val="009B2B20"/>
  </w:style>
  <w:style w:type="paragraph" w:styleId="NormalWeb">
    <w:name w:val="Normal (Web)"/>
    <w:basedOn w:val="Normal"/>
    <w:uiPriority w:val="99"/>
    <w:semiHidden/>
    <w:unhideWhenUsed/>
    <w:rsid w:val="00286947"/>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1D3D"/>
    <w:rPr>
      <w:rFonts w:ascii="Arial" w:eastAsiaTheme="majorEastAsia" w:hAnsi="Arial" w:cstheme="majorBidi"/>
      <w:color w:val="7F7F7F" w:themeColor="text1" w:themeTint="80"/>
      <w:sz w:val="30"/>
      <w:szCs w:val="32"/>
    </w:rPr>
  </w:style>
  <w:style w:type="paragraph" w:styleId="Title">
    <w:name w:val="Title"/>
    <w:basedOn w:val="Normal"/>
    <w:next w:val="Normal"/>
    <w:link w:val="TitleChar"/>
    <w:uiPriority w:val="10"/>
    <w:qFormat/>
    <w:rsid w:val="00E71D3D"/>
    <w:pPr>
      <w:spacing w:before="0" w:after="0"/>
      <w:contextualSpacing/>
    </w:pPr>
    <w:rPr>
      <w:rFonts w:eastAsiaTheme="majorEastAsia" w:cstheme="majorBidi"/>
      <w:color w:val="4DBBC6"/>
      <w:spacing w:val="-10"/>
      <w:kern w:val="28"/>
      <w:sz w:val="50"/>
      <w:szCs w:val="56"/>
    </w:rPr>
  </w:style>
  <w:style w:type="character" w:customStyle="1" w:styleId="TitleChar">
    <w:name w:val="Title Char"/>
    <w:basedOn w:val="DefaultParagraphFont"/>
    <w:link w:val="Title"/>
    <w:uiPriority w:val="10"/>
    <w:rsid w:val="00E71D3D"/>
    <w:rPr>
      <w:rFonts w:ascii="Arial" w:eastAsiaTheme="majorEastAsia" w:hAnsi="Arial" w:cstheme="majorBidi"/>
      <w:color w:val="4DBBC6"/>
      <w:spacing w:val="-10"/>
      <w:kern w:val="28"/>
      <w:sz w:val="50"/>
      <w:szCs w:val="56"/>
    </w:rPr>
  </w:style>
  <w:style w:type="character" w:customStyle="1" w:styleId="Heading2Char">
    <w:name w:val="Heading 2 Char"/>
    <w:basedOn w:val="DefaultParagraphFont"/>
    <w:link w:val="Heading2"/>
    <w:uiPriority w:val="9"/>
    <w:rsid w:val="00E71D3D"/>
    <w:rPr>
      <w:rFonts w:ascii="Arial" w:eastAsiaTheme="majorEastAsia" w:hAnsi="Arial" w:cstheme="majorBidi"/>
      <w:b/>
      <w:color w:val="4DBBC6"/>
      <w:szCs w:val="26"/>
    </w:rPr>
  </w:style>
  <w:style w:type="character" w:customStyle="1" w:styleId="Heading3Char">
    <w:name w:val="Heading 3 Char"/>
    <w:basedOn w:val="DefaultParagraphFont"/>
    <w:link w:val="Heading3"/>
    <w:uiPriority w:val="9"/>
    <w:rsid w:val="00E71D3D"/>
    <w:rPr>
      <w:rFonts w:ascii="Arial" w:eastAsiaTheme="majorEastAsia" w:hAnsi="Arial" w:cstheme="majorBidi"/>
      <w:color w:val="4DBBC6"/>
      <w:sz w:val="20"/>
    </w:rPr>
  </w:style>
  <w:style w:type="character" w:customStyle="1" w:styleId="Heading4Char">
    <w:name w:val="Heading 4 Char"/>
    <w:basedOn w:val="DefaultParagraphFont"/>
    <w:link w:val="Heading4"/>
    <w:uiPriority w:val="9"/>
    <w:semiHidden/>
    <w:rsid w:val="007533E8"/>
    <w:rPr>
      <w:rFonts w:ascii="Arial" w:eastAsiaTheme="majorEastAsia" w:hAnsi="Arial" w:cstheme="majorBidi"/>
      <w:i/>
      <w:iCs/>
      <w:sz w:val="20"/>
    </w:rPr>
  </w:style>
  <w:style w:type="table" w:styleId="TableGrid">
    <w:name w:val="Table Grid"/>
    <w:basedOn w:val="TableNormal"/>
    <w:uiPriority w:val="39"/>
    <w:rsid w:val="0006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0885"/>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0885"/>
    <w:rPr>
      <w:rFonts w:ascii="Times New Roman" w:hAnsi="Times New Roman" w:cs="Times New Roman"/>
      <w:sz w:val="18"/>
      <w:szCs w:val="18"/>
    </w:rPr>
  </w:style>
  <w:style w:type="character" w:styleId="CommentReference">
    <w:name w:val="annotation reference"/>
    <w:basedOn w:val="DefaultParagraphFont"/>
    <w:uiPriority w:val="99"/>
    <w:unhideWhenUsed/>
    <w:rsid w:val="007B309F"/>
    <w:rPr>
      <w:sz w:val="16"/>
      <w:szCs w:val="16"/>
    </w:rPr>
  </w:style>
  <w:style w:type="paragraph" w:styleId="CommentText">
    <w:name w:val="annotation text"/>
    <w:basedOn w:val="Normal"/>
    <w:link w:val="CommentTextChar"/>
    <w:uiPriority w:val="99"/>
    <w:unhideWhenUsed/>
    <w:rsid w:val="007B309F"/>
    <w:pPr>
      <w:spacing w:before="0" w:after="0"/>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7B309F"/>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F5016D"/>
    <w:rPr>
      <w:color w:val="0563C1" w:themeColor="hyperlink"/>
      <w:u w:val="single"/>
    </w:rPr>
  </w:style>
  <w:style w:type="character" w:customStyle="1" w:styleId="normaltextrun">
    <w:name w:val="normaltextrun"/>
    <w:basedOn w:val="DefaultParagraphFont"/>
    <w:rsid w:val="00F5016D"/>
  </w:style>
  <w:style w:type="character" w:customStyle="1" w:styleId="ng-scope">
    <w:name w:val="ng-scope"/>
    <w:basedOn w:val="DefaultParagraphFont"/>
    <w:rsid w:val="00F5016D"/>
  </w:style>
  <w:style w:type="character" w:customStyle="1" w:styleId="ng-binding">
    <w:name w:val="ng-binding"/>
    <w:basedOn w:val="DefaultParagraphFont"/>
    <w:rsid w:val="00F5016D"/>
  </w:style>
  <w:style w:type="paragraph" w:styleId="Revision">
    <w:name w:val="Revision"/>
    <w:hidden/>
    <w:uiPriority w:val="99"/>
    <w:semiHidden/>
    <w:rsid w:val="0003711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9240">
      <w:bodyDiv w:val="1"/>
      <w:marLeft w:val="0"/>
      <w:marRight w:val="0"/>
      <w:marTop w:val="0"/>
      <w:marBottom w:val="0"/>
      <w:divBdr>
        <w:top w:val="none" w:sz="0" w:space="0" w:color="auto"/>
        <w:left w:val="none" w:sz="0" w:space="0" w:color="auto"/>
        <w:bottom w:val="none" w:sz="0" w:space="0" w:color="auto"/>
        <w:right w:val="none" w:sz="0" w:space="0" w:color="auto"/>
      </w:divBdr>
    </w:div>
    <w:div w:id="542718587">
      <w:bodyDiv w:val="1"/>
      <w:marLeft w:val="0"/>
      <w:marRight w:val="0"/>
      <w:marTop w:val="0"/>
      <w:marBottom w:val="0"/>
      <w:divBdr>
        <w:top w:val="none" w:sz="0" w:space="0" w:color="auto"/>
        <w:left w:val="none" w:sz="0" w:space="0" w:color="auto"/>
        <w:bottom w:val="none" w:sz="0" w:space="0" w:color="auto"/>
        <w:right w:val="none" w:sz="0" w:space="0" w:color="auto"/>
      </w:divBdr>
    </w:div>
    <w:div w:id="9570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mc.org/PREvie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levin@aamc.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view@aamc.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Mavilia</dc:creator>
  <cp:keywords/>
  <dc:description/>
  <cp:lastModifiedBy>Rebecca Fraser</cp:lastModifiedBy>
  <cp:revision>4</cp:revision>
  <dcterms:created xsi:type="dcterms:W3CDTF">2024-01-17T17:01:00Z</dcterms:created>
  <dcterms:modified xsi:type="dcterms:W3CDTF">2024-02-08T13:26:00Z</dcterms:modified>
</cp:coreProperties>
</file>